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1DC4" w14:textId="77777777" w:rsidR="00CA42F0" w:rsidRPr="000E7016" w:rsidRDefault="00CA42F0" w:rsidP="00CA42F0">
      <w:pPr>
        <w:rPr>
          <w:b/>
          <w:sz w:val="40"/>
          <w:szCs w:val="40"/>
          <w:lang w:val="en-US"/>
        </w:rPr>
      </w:pPr>
      <w:r>
        <w:rPr>
          <w:b/>
          <w:bCs/>
          <w:sz w:val="40"/>
          <w:szCs w:val="40"/>
          <w:lang w:val="fr-FR"/>
        </w:rPr>
        <w:t>Kleemann | Solution durable avec l'installation de criblage MOBISCREEN MSC 702i EVO</w:t>
      </w:r>
    </w:p>
    <w:p w14:paraId="148CA38D" w14:textId="77777777" w:rsidR="00CA42F0" w:rsidRPr="000E7016" w:rsidRDefault="00CA42F0" w:rsidP="00CA42F0">
      <w:pPr>
        <w:rPr>
          <w:b/>
          <w:bCs/>
          <w:sz w:val="24"/>
          <w:szCs w:val="24"/>
          <w:lang w:val="en-US"/>
        </w:rPr>
      </w:pPr>
    </w:p>
    <w:p w14:paraId="726B064D" w14:textId="77777777" w:rsidR="00CA42F0" w:rsidRPr="000E7016" w:rsidRDefault="00CA42F0" w:rsidP="00CA42F0">
      <w:pPr>
        <w:rPr>
          <w:b/>
          <w:sz w:val="28"/>
          <w:szCs w:val="40"/>
          <w:lang w:val="en-US"/>
        </w:rPr>
      </w:pPr>
      <w:r>
        <w:rPr>
          <w:b/>
          <w:bCs/>
          <w:sz w:val="28"/>
          <w:szCs w:val="40"/>
          <w:lang w:val="fr-FR"/>
        </w:rPr>
        <w:t>Avec une installation purement électrique, l'exploitant est paré pour l'avenir</w:t>
      </w:r>
    </w:p>
    <w:p w14:paraId="0EDDAD04" w14:textId="77777777" w:rsidR="00CA42F0" w:rsidRPr="000E7016" w:rsidRDefault="00CA42F0" w:rsidP="00CA42F0">
      <w:pPr>
        <w:rPr>
          <w:b/>
          <w:bCs/>
          <w:sz w:val="18"/>
          <w:szCs w:val="24"/>
          <w:lang w:val="en-US"/>
        </w:rPr>
      </w:pPr>
    </w:p>
    <w:p w14:paraId="69431B70" w14:textId="77777777" w:rsidR="00CA42F0" w:rsidRPr="000E7016" w:rsidRDefault="00CA42F0" w:rsidP="00CA42F0">
      <w:pPr>
        <w:jc w:val="both"/>
        <w:rPr>
          <w:b/>
          <w:bCs/>
          <w:sz w:val="22"/>
          <w:szCs w:val="22"/>
          <w:lang w:val="en-US"/>
        </w:rPr>
      </w:pPr>
      <w:r>
        <w:rPr>
          <w:b/>
          <w:bCs/>
          <w:sz w:val="22"/>
          <w:szCs w:val="22"/>
          <w:lang w:val="fr-FR"/>
        </w:rPr>
        <w:t>Pour le criblage de sables de quartz de qualité dans une carrière de sable dans le canton de Sigmaringen (Allemagne), l'installation de criblage mobile MOBISCREEN MSC 702i EVO avec Dual Power est utilisée. Le matériau traité est ensuite utilisé pour la construction de terrains de sport</w:t>
      </w:r>
      <w:r>
        <w:rPr>
          <w:lang w:val="fr-FR"/>
        </w:rPr>
        <w:t xml:space="preserve"> </w:t>
      </w:r>
      <w:r>
        <w:rPr>
          <w:b/>
          <w:bCs/>
          <w:sz w:val="22"/>
          <w:szCs w:val="22"/>
          <w:lang w:val="fr-FR"/>
        </w:rPr>
        <w:t>et employé dans la production de verre ou pour des matériaux de construction tels que l'enduit ou la colle.</w:t>
      </w:r>
    </w:p>
    <w:p w14:paraId="4E807F3D" w14:textId="77777777" w:rsidR="00CA42F0" w:rsidRPr="000E7016" w:rsidRDefault="00CA42F0" w:rsidP="00CA42F0">
      <w:pPr>
        <w:jc w:val="both"/>
        <w:rPr>
          <w:b/>
          <w:bCs/>
          <w:sz w:val="22"/>
          <w:szCs w:val="22"/>
          <w:lang w:val="en-US"/>
        </w:rPr>
      </w:pPr>
    </w:p>
    <w:p w14:paraId="329E220D" w14:textId="77777777" w:rsidR="00CA42F0" w:rsidRPr="000E7016" w:rsidRDefault="00CA42F0" w:rsidP="00CA42F0">
      <w:pPr>
        <w:jc w:val="both"/>
        <w:rPr>
          <w:b/>
          <w:bCs/>
          <w:sz w:val="22"/>
          <w:szCs w:val="22"/>
          <w:lang w:val="en-US"/>
        </w:rPr>
      </w:pPr>
      <w:r>
        <w:rPr>
          <w:b/>
          <w:bCs/>
          <w:sz w:val="22"/>
          <w:szCs w:val="22"/>
          <w:lang w:val="fr-FR"/>
        </w:rPr>
        <w:t>Une solution efficace, avec un entraînement respectueux de l'environnement</w:t>
      </w:r>
    </w:p>
    <w:p w14:paraId="778D0CDC" w14:textId="77777777" w:rsidR="00CA42F0" w:rsidRPr="000E7016" w:rsidRDefault="00CA42F0" w:rsidP="00CA42F0">
      <w:pPr>
        <w:jc w:val="both"/>
        <w:rPr>
          <w:sz w:val="22"/>
          <w:szCs w:val="22"/>
          <w:lang w:val="en-US"/>
        </w:rPr>
      </w:pPr>
      <w:r>
        <w:rPr>
          <w:sz w:val="22"/>
          <w:szCs w:val="22"/>
          <w:lang w:val="fr-FR"/>
        </w:rPr>
        <w:t>À la recherche d'une solution efficace pour la séparation de granulations, l'exploitant a choisi l'installation MOBISCREEN MSC 702i EVO avec Dual Power. Cette installation de criblage dispose d'une part d'une surface de criblage très grande et large, pouvant fournir un débit très élevé. D'autre part, Kleemann propose en option de faire fonctionner l'installation de manière purement électrique. Un système d'entraînement d'avenir qui fonctionne sur site sans émissions de CO</w:t>
      </w:r>
      <w:r>
        <w:rPr>
          <w:sz w:val="22"/>
          <w:szCs w:val="22"/>
          <w:vertAlign w:val="subscript"/>
          <w:lang w:val="fr-FR"/>
        </w:rPr>
        <w:t>2</w:t>
      </w:r>
      <w:r>
        <w:rPr>
          <w:sz w:val="22"/>
          <w:szCs w:val="22"/>
          <w:lang w:val="fr-FR"/>
        </w:rPr>
        <w:t xml:space="preserve"> et influe de manière positive sur le bilan environnemental et l'assurance qualité. L'alimentation électrique sur site est par exemple possible via un poste de transformation qui "accompagne" la machine qui est déplacée 2–3 fois par an. </w:t>
      </w:r>
    </w:p>
    <w:p w14:paraId="79334057" w14:textId="77777777" w:rsidR="00CA42F0" w:rsidRPr="000E7016" w:rsidRDefault="00CA42F0" w:rsidP="00CA42F0">
      <w:pPr>
        <w:jc w:val="both"/>
        <w:rPr>
          <w:sz w:val="22"/>
          <w:szCs w:val="22"/>
          <w:lang w:val="en-US"/>
        </w:rPr>
      </w:pPr>
    </w:p>
    <w:p w14:paraId="3E384384" w14:textId="77777777" w:rsidR="00CA42F0" w:rsidRPr="000E7016" w:rsidRDefault="00CA42F0" w:rsidP="00CA42F0">
      <w:pPr>
        <w:jc w:val="both"/>
        <w:rPr>
          <w:b/>
          <w:bCs/>
          <w:sz w:val="22"/>
          <w:szCs w:val="22"/>
          <w:lang w:val="en-US"/>
        </w:rPr>
      </w:pPr>
      <w:r>
        <w:rPr>
          <w:b/>
          <w:bCs/>
          <w:sz w:val="22"/>
          <w:szCs w:val="22"/>
          <w:lang w:val="fr-FR"/>
        </w:rPr>
        <w:t xml:space="preserve">La nouvelle acquisition convainc lors de la présentation </w:t>
      </w:r>
    </w:p>
    <w:p w14:paraId="0F82E6D0" w14:textId="77777777" w:rsidR="00CA42F0" w:rsidRPr="000E7016" w:rsidRDefault="00CA42F0" w:rsidP="00CA42F0">
      <w:pPr>
        <w:jc w:val="both"/>
        <w:rPr>
          <w:sz w:val="22"/>
          <w:szCs w:val="22"/>
          <w:lang w:val="en-US"/>
        </w:rPr>
      </w:pPr>
      <w:r>
        <w:rPr>
          <w:sz w:val="22"/>
          <w:szCs w:val="22"/>
          <w:lang w:val="fr-FR"/>
        </w:rPr>
        <w:t xml:space="preserve">Pour l'exploitant, cette nouvelle acquisition est sa première installation à entraînement électrique. Achim Haßdenteufel, directeur de secteur chez Emil Steidle GmbH &amp; Co. KG, et son équipe ont été séduits par les performances de l'installation dès le premier essai. "Nous avons examiné différentes installations et les avons également testées sur place pour comparer les débits. Le matériau sur notre site est très spécifique. Nous avons beaucoup d'argile dans le sable brut, ce qui bouche les cribles, selon Haßdenteufel. Et le directeur d'usine Walter Kieper ajoute : "La machine fourni un très bon débit. Tout peut être piloté très simplement avec une télécommande. Pour nos employés habitués à la commande avec des leviers hydrauliques c'est un changement, mais ils se sont vite familiarisés avec l'écran numérique. L'interface utilisateur est claire et intuitive." </w:t>
      </w:r>
    </w:p>
    <w:p w14:paraId="2BDD7475" w14:textId="77777777" w:rsidR="00CA42F0" w:rsidRPr="000E7016" w:rsidRDefault="00CA42F0" w:rsidP="00CA42F0">
      <w:pPr>
        <w:jc w:val="both"/>
        <w:rPr>
          <w:b/>
          <w:bCs/>
          <w:sz w:val="22"/>
          <w:szCs w:val="22"/>
          <w:lang w:val="en-US"/>
        </w:rPr>
      </w:pPr>
    </w:p>
    <w:p w14:paraId="69C97D80" w14:textId="77777777" w:rsidR="00CA42F0" w:rsidRPr="000E7016" w:rsidRDefault="00CA42F0" w:rsidP="00CA42F0">
      <w:pPr>
        <w:jc w:val="both"/>
        <w:rPr>
          <w:b/>
          <w:bCs/>
          <w:sz w:val="22"/>
          <w:szCs w:val="22"/>
          <w:lang w:val="en-US"/>
        </w:rPr>
      </w:pPr>
      <w:r>
        <w:rPr>
          <w:b/>
          <w:bCs/>
          <w:sz w:val="22"/>
          <w:szCs w:val="22"/>
          <w:lang w:val="fr-FR"/>
        </w:rPr>
        <w:t>Les détails font la différence</w:t>
      </w:r>
    </w:p>
    <w:p w14:paraId="71E07EE6" w14:textId="77777777" w:rsidR="00CA42F0" w:rsidRPr="000E7016" w:rsidRDefault="00CA42F0" w:rsidP="00CA42F0">
      <w:pPr>
        <w:jc w:val="both"/>
        <w:rPr>
          <w:sz w:val="22"/>
          <w:szCs w:val="22"/>
          <w:lang w:val="en-US"/>
        </w:rPr>
      </w:pPr>
      <w:r>
        <w:rPr>
          <w:sz w:val="22"/>
          <w:szCs w:val="22"/>
          <w:lang w:val="fr-FR"/>
        </w:rPr>
        <w:t xml:space="preserve">Les détails techniquement bien pensés du MSC 702i EVO répondent aux exigences élevées du matériau. Il est par exemple possible d'inverser les convoyeurs lors de la configuration. Ainsi, les convoyeurs de produits fins et intermédiaires peuvent être montés en option à gauche ou à droite et le trajet de la chargeuse sur pneus peut être écourté au maximum. Ceci permet de réduire la consommation énergétique et l'usure des véhicules. </w:t>
      </w:r>
    </w:p>
    <w:p w14:paraId="0E58AB75" w14:textId="77777777" w:rsidR="000E7016" w:rsidRDefault="000E7016">
      <w:pPr>
        <w:rPr>
          <w:sz w:val="22"/>
          <w:szCs w:val="22"/>
          <w:lang w:val="fr-FR"/>
        </w:rPr>
      </w:pPr>
      <w:r>
        <w:rPr>
          <w:sz w:val="22"/>
          <w:szCs w:val="22"/>
          <w:lang w:val="fr-FR"/>
        </w:rPr>
        <w:br w:type="page"/>
      </w:r>
    </w:p>
    <w:p w14:paraId="4C7130DE" w14:textId="4447B788" w:rsidR="00CA42F0" w:rsidRPr="000E7016" w:rsidRDefault="00CA42F0" w:rsidP="00CA42F0">
      <w:pPr>
        <w:jc w:val="both"/>
        <w:rPr>
          <w:sz w:val="22"/>
          <w:szCs w:val="22"/>
          <w:lang w:val="en-US"/>
        </w:rPr>
      </w:pPr>
      <w:r>
        <w:rPr>
          <w:sz w:val="22"/>
          <w:szCs w:val="22"/>
          <w:lang w:val="fr-FR"/>
        </w:rPr>
        <w:lastRenderedPageBreak/>
        <w:t>Le MOBISCREEN MSC 702i EVO est équipé d'une grille vibrante. Ainsi, la "roche de sable" grossière est séparée en premier et la machine est chargée avec une taille d'alimentation de 0-50 mm. L'étage supérieur est utilisé comme étage de soulagement, le deuxième étage définit la granulométrie cible. La possibilité de réglage en continu de la vitesse des convoyeurs contribue à l'efficacité énergétique : Vu que dans la carrière de sable les convoyeurs de produits fins et intermédiaires sont déchargés ensemble lors du criblage, seul un convoyeur de déchargement latéral est utilisé de manière active. Sur le deuxième convoyeur, la vitesse est réduite afin de faire des économies d'énergie. La vitesse réduite est également avantageuse quand le matériau d'alimentation est très humide, comme l'explique Michell Blasczyk de WIRTGEN DEUTSCHLAND Vertriebs- und Service GmbH :</w:t>
      </w:r>
      <w:r>
        <w:rPr>
          <w:lang w:val="fr-FR"/>
        </w:rPr>
        <w:t xml:space="preserve"> </w:t>
      </w:r>
      <w:r>
        <w:rPr>
          <w:sz w:val="22"/>
          <w:szCs w:val="22"/>
          <w:lang w:val="fr-FR"/>
        </w:rPr>
        <w:t>"Tous les sables ne se ressemblent pas. Suivant le degré d'humidité et la structure, la garniture, l'angle d'inclinaison, la vitesse et plein d'autres choses encore doivent être parfaitement harmonisés."</w:t>
      </w:r>
    </w:p>
    <w:p w14:paraId="2D6CA378" w14:textId="77777777" w:rsidR="00CA42F0" w:rsidRPr="000E7016" w:rsidRDefault="00CA42F0" w:rsidP="00CA42F0">
      <w:pPr>
        <w:jc w:val="both"/>
        <w:rPr>
          <w:sz w:val="22"/>
          <w:szCs w:val="22"/>
          <w:lang w:val="en-US"/>
        </w:rPr>
      </w:pPr>
    </w:p>
    <w:p w14:paraId="3BC7FEDF" w14:textId="77777777" w:rsidR="00CA42F0" w:rsidRPr="000E7016" w:rsidRDefault="00CA42F0" w:rsidP="00CA42F0">
      <w:pPr>
        <w:jc w:val="both"/>
        <w:rPr>
          <w:sz w:val="22"/>
          <w:szCs w:val="22"/>
          <w:lang w:val="en-US"/>
        </w:rPr>
      </w:pPr>
      <w:r>
        <w:rPr>
          <w:sz w:val="22"/>
          <w:szCs w:val="22"/>
          <w:lang w:val="fr-FR"/>
        </w:rPr>
        <w:t xml:space="preserve">Également lors de la configuration, l'exploitant a pu compter sur l'assistance des experts Kleemann, par le biais de départements spécialisés qui ont établi des organigrammes précis ou du laboratoire Kleemann qui a examiné minutieusement le matériau au préalable. </w:t>
      </w:r>
    </w:p>
    <w:p w14:paraId="02898768" w14:textId="77777777" w:rsidR="00CA42F0" w:rsidRPr="000E7016" w:rsidRDefault="00CA42F0" w:rsidP="00CA42F0">
      <w:pPr>
        <w:jc w:val="both"/>
        <w:rPr>
          <w:sz w:val="22"/>
          <w:szCs w:val="22"/>
          <w:lang w:val="en-US"/>
        </w:rPr>
      </w:pPr>
    </w:p>
    <w:p w14:paraId="711C64D0" w14:textId="77777777" w:rsidR="00CA42F0" w:rsidRPr="000E7016" w:rsidRDefault="00CA42F0" w:rsidP="00CA42F0">
      <w:pPr>
        <w:rPr>
          <w:sz w:val="22"/>
          <w:szCs w:val="22"/>
          <w:lang w:val="en-US"/>
        </w:rPr>
      </w:pPr>
    </w:p>
    <w:p w14:paraId="69547D11" w14:textId="77777777" w:rsidR="00CA42F0" w:rsidRPr="000E7016" w:rsidRDefault="00CA42F0" w:rsidP="00CA42F0">
      <w:pPr>
        <w:rPr>
          <w:b/>
          <w:bCs/>
          <w:sz w:val="22"/>
          <w:szCs w:val="22"/>
          <w:lang w:val="en-US"/>
        </w:rPr>
      </w:pPr>
      <w:r>
        <w:rPr>
          <w:b/>
          <w:bCs/>
          <w:sz w:val="22"/>
          <w:szCs w:val="22"/>
          <w:lang w:val="fr-FR"/>
        </w:rPr>
        <w:t>Photos :</w:t>
      </w:r>
    </w:p>
    <w:p w14:paraId="694EEF88" w14:textId="77777777" w:rsidR="00CA42F0" w:rsidRPr="000E7016" w:rsidRDefault="00CA42F0" w:rsidP="00CA42F0">
      <w:pPr>
        <w:rPr>
          <w:rFonts w:eastAsiaTheme="minorHAnsi" w:cstheme="minorBidi"/>
          <w:b/>
          <w:sz w:val="22"/>
          <w:szCs w:val="24"/>
          <w:lang w:val="en-US"/>
        </w:rPr>
      </w:pPr>
    </w:p>
    <w:p w14:paraId="14482600" w14:textId="3B49E5B5" w:rsidR="000E7016" w:rsidRDefault="00CA42F0" w:rsidP="00CA42F0">
      <w:pPr>
        <w:pStyle w:val="BUbold"/>
        <w:rPr>
          <w:b w:val="0"/>
          <w:lang w:val="fr-FR"/>
        </w:rPr>
      </w:pPr>
      <w:r>
        <w:rPr>
          <w:b w:val="0"/>
          <w:noProof/>
          <w:lang w:val="fr-FR"/>
        </w:rPr>
        <w:drawing>
          <wp:inline distT="0" distB="0" distL="0" distR="0" wp14:anchorId="56DCE1A4" wp14:editId="72C94610">
            <wp:extent cx="3457575" cy="194488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3460433" cy="1946493"/>
                    </a:xfrm>
                    <a:prstGeom prst="rect">
                      <a:avLst/>
                    </a:prstGeom>
                    <a:noFill/>
                    <a:ln>
                      <a:noFill/>
                    </a:ln>
                  </pic:spPr>
                </pic:pic>
              </a:graphicData>
            </a:graphic>
          </wp:inline>
        </w:drawing>
      </w:r>
      <w:r>
        <w:rPr>
          <w:b w:val="0"/>
          <w:lang w:val="fr-FR"/>
        </w:rPr>
        <w:br/>
      </w:r>
      <w:r>
        <w:rPr>
          <w:bCs/>
          <w:lang w:val="fr-FR"/>
        </w:rPr>
        <w:t>KL_MSC 702i EVO_Steidle</w:t>
      </w:r>
      <w:r>
        <w:rPr>
          <w:b w:val="0"/>
          <w:lang w:val="fr-FR"/>
        </w:rPr>
        <w:br/>
        <w:t>Le MOBISCREEN MSC 702i EVO fonctionne en mode purement électrique dans une carrière de sable à Meßkirch-Rengetsweiler</w:t>
      </w:r>
      <w:r>
        <w:rPr>
          <w:bCs/>
          <w:lang w:val="fr-FR"/>
        </w:rPr>
        <w:t xml:space="preserve"> </w:t>
      </w:r>
      <w:r>
        <w:rPr>
          <w:b w:val="0"/>
          <w:lang w:val="fr-FR"/>
        </w:rPr>
        <w:t xml:space="preserve">(canton de Sigmaringen). </w:t>
      </w:r>
    </w:p>
    <w:p w14:paraId="1CFE2BDF" w14:textId="77777777" w:rsidR="000E7016" w:rsidRDefault="000E7016">
      <w:pPr>
        <w:rPr>
          <w:rFonts w:eastAsiaTheme="minorHAnsi" w:cstheme="minorBidi"/>
          <w:sz w:val="20"/>
          <w:szCs w:val="24"/>
          <w:lang w:val="fr-FR"/>
        </w:rPr>
      </w:pPr>
      <w:r>
        <w:rPr>
          <w:b/>
          <w:lang w:val="fr-FR"/>
        </w:rPr>
        <w:br w:type="page"/>
      </w:r>
    </w:p>
    <w:p w14:paraId="5E1E5EAD" w14:textId="77777777" w:rsidR="00CA42F0" w:rsidRPr="000E7016" w:rsidRDefault="00CA42F0" w:rsidP="00CA42F0">
      <w:pPr>
        <w:pStyle w:val="BUbold"/>
        <w:rPr>
          <w:lang w:val="en-US"/>
        </w:rPr>
      </w:pPr>
      <w:r>
        <w:rPr>
          <w:b w:val="0"/>
          <w:noProof/>
          <w:lang w:val="fr-FR"/>
        </w:rPr>
        <w:lastRenderedPageBreak/>
        <w:drawing>
          <wp:inline distT="0" distB="0" distL="0" distR="0" wp14:anchorId="2E91CCD3" wp14:editId="74AF3811">
            <wp:extent cx="3329940" cy="1873092"/>
            <wp:effectExtent l="0" t="0" r="3810" b="0"/>
            <wp:docPr id="373508212" name="Grafik 373508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08212" name="Grafik 373508212"/>
                    <pic:cNvPicPr>
                      <a:picLocks noChangeAspect="1" noChangeArrowheads="1"/>
                    </pic:cNvPicPr>
                  </pic:nvPicPr>
                  <pic:blipFill>
                    <a:blip r:embed="rId9"/>
                    <a:stretch>
                      <a:fillRect/>
                    </a:stretch>
                  </pic:blipFill>
                  <pic:spPr bwMode="auto">
                    <a:xfrm>
                      <a:off x="0" y="0"/>
                      <a:ext cx="3338371" cy="1877834"/>
                    </a:xfrm>
                    <a:prstGeom prst="rect">
                      <a:avLst/>
                    </a:prstGeom>
                    <a:noFill/>
                    <a:ln>
                      <a:noFill/>
                    </a:ln>
                  </pic:spPr>
                </pic:pic>
              </a:graphicData>
            </a:graphic>
          </wp:inline>
        </w:drawing>
      </w:r>
      <w:r>
        <w:rPr>
          <w:b w:val="0"/>
          <w:lang w:val="fr-FR"/>
        </w:rPr>
        <w:br/>
      </w:r>
      <w:r>
        <w:rPr>
          <w:bCs/>
          <w:lang w:val="fr-FR"/>
        </w:rPr>
        <w:t>KL_MSC 702i EVO_Steidle_1</w:t>
      </w:r>
    </w:p>
    <w:p w14:paraId="4E230B1B" w14:textId="1A41C14C" w:rsidR="00CA42F0" w:rsidRDefault="00CA42F0" w:rsidP="00CA42F0">
      <w:pPr>
        <w:pStyle w:val="BUnormal"/>
        <w:rPr>
          <w:lang w:val="fr-FR"/>
        </w:rPr>
      </w:pPr>
      <w:r>
        <w:rPr>
          <w:lang w:val="fr-FR"/>
        </w:rPr>
        <w:t>L'installation de criblage par classification de Kleemann est équipée d'une grille vibrante. Ainsi, la "roche de sable" grossière est séparée en premier.</w:t>
      </w:r>
    </w:p>
    <w:p w14:paraId="7E256DD9" w14:textId="77777777" w:rsidR="00F65C68" w:rsidRDefault="00F65C68" w:rsidP="00F65C68">
      <w:pPr>
        <w:snapToGrid w:val="0"/>
        <w:contextualSpacing/>
        <w:rPr>
          <w:sz w:val="22"/>
          <w:szCs w:val="22"/>
          <w:lang w:val="en-GB"/>
        </w:rPr>
      </w:pPr>
    </w:p>
    <w:p w14:paraId="26B80E06" w14:textId="1ADBD274" w:rsidR="00F65C68" w:rsidRPr="00E10143" w:rsidRDefault="00F65C68" w:rsidP="00F65C68">
      <w:pPr>
        <w:snapToGrid w:val="0"/>
        <w:contextualSpacing/>
        <w:rPr>
          <w:rFonts w:eastAsiaTheme="minorHAnsi" w:cstheme="minorBidi"/>
          <w:bCs/>
          <w:iCs/>
          <w:color w:val="4F81BD" w:themeColor="accent1"/>
          <w:sz w:val="20"/>
          <w:szCs w:val="20"/>
          <w:lang w:val="en-US"/>
        </w:rPr>
      </w:pPr>
      <w:r>
        <w:rPr>
          <w:noProof/>
          <w:lang w:val="en-GB"/>
        </w:rPr>
        <w:drawing>
          <wp:inline distT="0" distB="0" distL="0" distR="0" wp14:anchorId="6578B8C6" wp14:editId="63557033">
            <wp:extent cx="2885652" cy="15302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885652" cy="1530270"/>
                    </a:xfrm>
                    <a:prstGeom prst="rect">
                      <a:avLst/>
                    </a:prstGeom>
                  </pic:spPr>
                </pic:pic>
              </a:graphicData>
            </a:graphic>
          </wp:inline>
        </w:drawing>
      </w:r>
      <w:r>
        <w:rPr>
          <w:sz w:val="22"/>
          <w:szCs w:val="22"/>
          <w:lang w:val="en-GB"/>
        </w:rPr>
        <w:t xml:space="preserve"> </w:t>
      </w:r>
      <w:hyperlink r:id="rId11" w:history="1">
        <w:r w:rsidRPr="00E10143">
          <w:rPr>
            <w:rStyle w:val="Hyperlink"/>
            <w:sz w:val="20"/>
            <w:szCs w:val="20"/>
            <w:lang w:val="en-GB"/>
          </w:rPr>
          <w:t>Please click here to watch the video.</w:t>
        </w:r>
      </w:hyperlink>
    </w:p>
    <w:p w14:paraId="7DFEBB1E" w14:textId="77777777" w:rsidR="00F65C68" w:rsidRPr="00E10143" w:rsidRDefault="00F65C68" w:rsidP="00F65C68">
      <w:pPr>
        <w:snapToGrid w:val="0"/>
        <w:contextualSpacing/>
        <w:rPr>
          <w:rFonts w:eastAsiaTheme="minorHAnsi" w:cstheme="minorBidi"/>
          <w:bCs/>
          <w:iCs/>
          <w:color w:val="4F81BD" w:themeColor="accent1"/>
          <w:sz w:val="20"/>
          <w:szCs w:val="20"/>
          <w:lang w:val="en-US"/>
        </w:rPr>
      </w:pPr>
    </w:p>
    <w:p w14:paraId="305D5DEB" w14:textId="77777777" w:rsidR="00F65C68" w:rsidRPr="00E10143" w:rsidRDefault="00F65C68" w:rsidP="00F65C68">
      <w:pPr>
        <w:rPr>
          <w:rFonts w:eastAsiaTheme="minorHAnsi" w:cstheme="minorBidi"/>
          <w:bCs/>
          <w:iCs/>
          <w:color w:val="4F81BD" w:themeColor="accent1"/>
          <w:sz w:val="20"/>
          <w:szCs w:val="20"/>
          <w:lang w:val="en-US"/>
        </w:rPr>
      </w:pPr>
    </w:p>
    <w:p w14:paraId="08E8C921" w14:textId="77777777" w:rsidR="00F65C68" w:rsidRPr="00E10143" w:rsidRDefault="00F65C68" w:rsidP="00F65C68">
      <w:pPr>
        <w:rPr>
          <w:rFonts w:eastAsiaTheme="minorHAnsi" w:cstheme="minorBidi"/>
          <w:b/>
          <w:iCs/>
          <w:color w:val="4F81BD" w:themeColor="accent1"/>
          <w:sz w:val="20"/>
          <w:szCs w:val="20"/>
          <w:lang w:val="en-US"/>
        </w:rPr>
      </w:pPr>
      <w:hyperlink r:id="rId12" w:history="1">
        <w:r>
          <w:rPr>
            <w:rFonts w:eastAsiaTheme="minorHAnsi" w:cstheme="minorBidi"/>
            <w:b/>
            <w:bCs/>
            <w:color w:val="4F81BD" w:themeColor="accent1"/>
            <w:sz w:val="20"/>
            <w:szCs w:val="20"/>
            <w:u w:val="single"/>
            <w:lang w:val="en-GB"/>
          </w:rPr>
          <w:t>Find more fascinating videos on the Wirtgen Group channel on YouTube</w:t>
        </w:r>
      </w:hyperlink>
    </w:p>
    <w:p w14:paraId="3A3F3A9B" w14:textId="77777777" w:rsidR="00F65C68" w:rsidRPr="00F65C68" w:rsidRDefault="00F65C68" w:rsidP="00F65C68">
      <w:pPr>
        <w:pStyle w:val="Standardabsatz"/>
        <w:rPr>
          <w:lang w:val="en-US"/>
        </w:rPr>
      </w:pPr>
    </w:p>
    <w:p w14:paraId="62FA42AB" w14:textId="3DE8DD28" w:rsidR="00CA42F0" w:rsidRPr="000E7016" w:rsidRDefault="00CA42F0" w:rsidP="00CA42F0">
      <w:pPr>
        <w:pStyle w:val="Note"/>
        <w:rPr>
          <w:lang w:val="fr-FR"/>
        </w:rPr>
      </w:pPr>
      <w:r>
        <w:rPr>
          <w:iCs/>
          <w:lang w:val="fr-FR"/>
        </w:rPr>
        <w:t>Remarque : ces photos ne sont que des aperçus. Pour une intégration dans des publications, veuillez utiliser les photos en résolution 300 dpi qui sont à votre disposition en téléchargement.</w:t>
      </w:r>
    </w:p>
    <w:p w14:paraId="35DC8D5D" w14:textId="77777777" w:rsidR="00CA42F0" w:rsidRPr="000E7016" w:rsidRDefault="00CA42F0" w:rsidP="00CA42F0">
      <w:pPr>
        <w:pStyle w:val="Standardabsatz"/>
        <w:rPr>
          <w:lang w:val="fr-FR"/>
        </w:rPr>
      </w:pPr>
    </w:p>
    <w:p w14:paraId="6927EA32" w14:textId="77777777" w:rsidR="00CA42F0" w:rsidRPr="000E7016" w:rsidRDefault="00CA42F0" w:rsidP="00CA42F0">
      <w:pPr>
        <w:pStyle w:val="Absatzberschrift"/>
        <w:rPr>
          <w:iCs/>
          <w:lang w:val="en-US"/>
        </w:rPr>
      </w:pPr>
      <w:r>
        <w:rPr>
          <w:bCs/>
          <w:lang w:val="fr-FR"/>
        </w:rPr>
        <w:t>Pour plus d'informations, contacter :</w:t>
      </w:r>
    </w:p>
    <w:p w14:paraId="3B506FF5" w14:textId="77777777" w:rsidR="00CA42F0" w:rsidRPr="000E7016" w:rsidRDefault="00CA42F0" w:rsidP="00CA42F0">
      <w:pPr>
        <w:pStyle w:val="Absatzberschrift"/>
        <w:rPr>
          <w:lang w:val="en-US"/>
        </w:rPr>
      </w:pPr>
    </w:p>
    <w:p w14:paraId="17E3E425" w14:textId="77777777" w:rsidR="00CA42F0" w:rsidRPr="000E7016" w:rsidRDefault="00CA42F0" w:rsidP="00CA42F0">
      <w:pPr>
        <w:pStyle w:val="Absatzberschrift"/>
        <w:rPr>
          <w:b w:val="0"/>
          <w:bCs/>
          <w:szCs w:val="22"/>
          <w:lang w:val="en-US"/>
        </w:rPr>
      </w:pPr>
      <w:r>
        <w:rPr>
          <w:b w:val="0"/>
          <w:lang w:val="fr-FR"/>
        </w:rPr>
        <w:t>WIRTGEN GROUP</w:t>
      </w:r>
    </w:p>
    <w:p w14:paraId="1CB426A0" w14:textId="77777777" w:rsidR="00CA42F0" w:rsidRDefault="00CA42F0" w:rsidP="00CA42F0">
      <w:pPr>
        <w:pStyle w:val="Fuzeile1"/>
      </w:pPr>
      <w:r>
        <w:rPr>
          <w:bCs w:val="0"/>
          <w:iCs w:val="0"/>
          <w:lang w:val="fr-FR"/>
        </w:rPr>
        <w:t>Public Relations</w:t>
      </w:r>
    </w:p>
    <w:p w14:paraId="463A9108" w14:textId="77777777" w:rsidR="00CA42F0" w:rsidRDefault="00CA42F0" w:rsidP="00CA42F0">
      <w:pPr>
        <w:pStyle w:val="Fuzeile1"/>
      </w:pPr>
      <w:r>
        <w:rPr>
          <w:bCs w:val="0"/>
          <w:iCs w:val="0"/>
          <w:lang w:val="fr-FR"/>
        </w:rPr>
        <w:t>Reinhard-Wirtgen-Straße 2</w:t>
      </w:r>
    </w:p>
    <w:p w14:paraId="4FDAAFA1" w14:textId="77777777" w:rsidR="00CA42F0" w:rsidRDefault="00CA42F0" w:rsidP="00CA42F0">
      <w:pPr>
        <w:pStyle w:val="Fuzeile1"/>
      </w:pPr>
      <w:r>
        <w:rPr>
          <w:bCs w:val="0"/>
          <w:iCs w:val="0"/>
          <w:lang w:val="fr-FR"/>
        </w:rPr>
        <w:t>53578 Windhagen</w:t>
      </w:r>
    </w:p>
    <w:p w14:paraId="13909785" w14:textId="77777777" w:rsidR="00CA42F0" w:rsidRDefault="00CA42F0" w:rsidP="00CA42F0">
      <w:pPr>
        <w:pStyle w:val="Fuzeile1"/>
      </w:pPr>
      <w:r>
        <w:rPr>
          <w:bCs w:val="0"/>
          <w:iCs w:val="0"/>
          <w:lang w:val="fr-FR"/>
        </w:rPr>
        <w:t>Allemagne</w:t>
      </w:r>
    </w:p>
    <w:p w14:paraId="2D118F9A" w14:textId="77777777" w:rsidR="00CA42F0" w:rsidRDefault="00CA42F0" w:rsidP="00CA42F0">
      <w:pPr>
        <w:pStyle w:val="Fuzeile1"/>
      </w:pPr>
    </w:p>
    <w:p w14:paraId="15BEC8F6" w14:textId="77777777" w:rsidR="00CA42F0" w:rsidRDefault="00CA42F0" w:rsidP="00CA42F0">
      <w:pPr>
        <w:pStyle w:val="Fuzeile1"/>
        <w:rPr>
          <w:rFonts w:ascii="Times New Roman" w:hAnsi="Times New Roman" w:cs="Times New Roman"/>
          <w:color w:val="FF0000"/>
        </w:rPr>
      </w:pPr>
      <w:r>
        <w:rPr>
          <w:bCs w:val="0"/>
          <w:iCs w:val="0"/>
          <w:lang w:val="fr-FR"/>
        </w:rPr>
        <w:t xml:space="preserve">Téléphone : +49 (0) 2645 131 – 1966 </w:t>
      </w:r>
    </w:p>
    <w:p w14:paraId="533039D1" w14:textId="77777777" w:rsidR="00CA42F0" w:rsidRDefault="00CA42F0" w:rsidP="00CA42F0">
      <w:pPr>
        <w:pStyle w:val="Fuzeile1"/>
      </w:pPr>
      <w:r>
        <w:rPr>
          <w:bCs w:val="0"/>
          <w:iCs w:val="0"/>
          <w:lang w:val="fr-FR"/>
        </w:rPr>
        <w:t>Fax : +49 (0) 2645 131 – 499</w:t>
      </w:r>
    </w:p>
    <w:p w14:paraId="7C26E675" w14:textId="77777777" w:rsidR="00CA42F0" w:rsidRDefault="00CA42F0" w:rsidP="00CA42F0">
      <w:pPr>
        <w:pStyle w:val="Fuzeile1"/>
      </w:pPr>
      <w:r>
        <w:rPr>
          <w:bCs w:val="0"/>
          <w:iCs w:val="0"/>
          <w:lang w:val="fr-FR"/>
        </w:rPr>
        <w:t>E-mail : PR@wirtgen-group.com</w:t>
      </w:r>
      <w:r>
        <w:rPr>
          <w:bCs w:val="0"/>
          <w:iCs w:val="0"/>
          <w:vanish/>
        </w:rPr>
        <w:t>PR@wirtgen-group.com</w:t>
      </w:r>
    </w:p>
    <w:p w14:paraId="3D604A55" w14:textId="5DBD9464" w:rsidR="00F048D4" w:rsidRPr="00CA42F0" w:rsidRDefault="00CA42F0" w:rsidP="00F65C68">
      <w:pPr>
        <w:pStyle w:val="Fuzeile1"/>
      </w:pPr>
      <w:r>
        <w:rPr>
          <w:bCs w:val="0"/>
          <w:iCs w:val="0"/>
          <w:lang w:val="fr-FR"/>
        </w:rPr>
        <w:t>www.wirtgen-group.com</w:t>
      </w:r>
    </w:p>
    <w:sectPr w:rsidR="00F048D4" w:rsidRPr="00CA42F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0236538" w:rsidR="000278CB" w:rsidRDefault="00CA42F0">
    <w:pPr>
      <w:pStyle w:val="Kopfzeile"/>
    </w:pPr>
    <w:r>
      <w:rPr>
        <w:noProof/>
        <w:lang w:val="fr-FR"/>
      </w:rPr>
      <mc:AlternateContent>
        <mc:Choice Requires="wps">
          <w:drawing>
            <wp:anchor distT="0" distB="0" distL="0" distR="0" simplePos="0" relativeHeight="251661312" behindDoc="0" locked="0" layoutInCell="1" allowOverlap="1" wp14:anchorId="28EEFA93" wp14:editId="2E192B7A">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3EB28" w14:textId="1AC13E6B"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EEFA9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8E3EB28" w14:textId="1AC13E6B"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4C6672" w:rsidR="00533132" w:rsidRPr="00533132" w:rsidRDefault="00CA42F0" w:rsidP="00533132">
    <w:pPr>
      <w:pStyle w:val="Kopfzeile"/>
    </w:pPr>
    <w:r>
      <w:rPr>
        <w:noProof/>
        <w:lang w:val="fr-FR"/>
      </w:rPr>
      <mc:AlternateContent>
        <mc:Choice Requires="wps">
          <w:drawing>
            <wp:anchor distT="0" distB="0" distL="0" distR="0" simplePos="0" relativeHeight="251662336" behindDoc="0" locked="0" layoutInCell="1" allowOverlap="1" wp14:anchorId="04031708" wp14:editId="7D353EC0">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468C2C" w14:textId="657C2583"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031708"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468C2C" w14:textId="657C2583"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246ECBF" w:rsidR="00533132" w:rsidRDefault="00CA42F0">
    <w:pPr>
      <w:pStyle w:val="Kopfzeile"/>
    </w:pPr>
    <w:r>
      <w:rPr>
        <w:noProof/>
        <w:lang w:val="fr-FR"/>
      </w:rPr>
      <mc:AlternateContent>
        <mc:Choice Requires="wps">
          <w:drawing>
            <wp:anchor distT="0" distB="0" distL="0" distR="0" simplePos="0" relativeHeight="251660288" behindDoc="0" locked="0" layoutInCell="1" allowOverlap="1" wp14:anchorId="65F53479" wp14:editId="5E40EB7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2D0681" w14:textId="5B5F73B4"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F5347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52D0681" w14:textId="5B5F73B4"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1500pt;height:1500pt" o:bullet="t">
        <v:imagedata r:id="rId1" o:title="AZ_04a"/>
      </v:shape>
    </w:pict>
  </w:numPicBullet>
  <w:numPicBullet w:numPicBulletId="1">
    <w:pict>
      <v:shape id="_x0000_i112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E7016"/>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2F0"/>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5C6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2F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irtgenGrou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_rm93TdI6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701</Words>
  <Characters>4419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2023-10-13T15:43:00Z</dcterms:created>
  <dcterms:modified xsi:type="dcterms:W3CDTF">2023-10-25T15:25:00Z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2023-09-18T12:28:12Z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d6002cce-c075-4b1b-92f7-fdeaf9db5d7b</vt:lpwstr>
  </property>
  <property fmtid="{D5CDD505-2E9C-101B-9397-08002B2CF9AE}" pid="11" name="MSIP_Label_df1a195f-122b-42dc-a2d3-71a1903dcdac_ContentBits">
    <vt:lpwstr>1</vt:lpwstr>
  </property>
</Properties>
</file>